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55"/>
        <w:shd w:val="clear" w:color="auto" w:fill="auto"/>
      </w:pPr>
      <w:r>
        <w:t xml:space="preserve">1. Общая информация</w:t>
      </w:r>
      <w:r/>
    </w:p>
    <w:tbl>
      <w:tblPr>
        <w:tblStyle w:val="856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58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58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ОКПД2 33.17.19 Оказание услуг по техническому обслуживанию подъездного железнодорожного пути Биробиджанской ТЭЦ г. Биробиджан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-108" w:right="-108"/>
              <w:jc w:val="left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Lucida Sans Unicode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41033022-ТО ПРОД-2026-ДГК-БирТЭЦ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eastAsia="Lucida Sans Unicode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line="244" w:lineRule="exact"/>
              <w:shd w:val="clear" w:color="auto" w:fill="auto"/>
              <w:rPr>
                <w:bCs w:val="0"/>
                <w:i w:val="0"/>
                <w:sz w:val="24"/>
                <w:szCs w:val="24"/>
              </w:rPr>
            </w:pPr>
            <w:r>
              <w:rPr>
                <w:rStyle w:val="858"/>
                <w:i w:val="0"/>
                <w:iCs w:val="0"/>
                <w:sz w:val="24"/>
                <w:szCs w:val="24"/>
              </w:rPr>
              <w:t xml:space="preserve">1.3.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line="244" w:lineRule="exact"/>
              <w:shd w:val="clear" w:color="auto" w:fill="auto"/>
              <w:rPr>
                <w:bCs w:val="0"/>
                <w:i w:val="0"/>
                <w:sz w:val="24"/>
                <w:szCs w:val="24"/>
              </w:rPr>
            </w:pPr>
            <w:r>
              <w:rPr>
                <w:rStyle w:val="858"/>
                <w:i w:val="0"/>
                <w:iCs w:val="0"/>
                <w:sz w:val="24"/>
                <w:szCs w:val="24"/>
              </w:rPr>
              <w:t xml:space="preserve">НМЦ 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6" w:right="-108"/>
              <w:jc w:val="left"/>
              <w:spacing w:before="11" w:beforeAutospacing="0" w:after="0" w:line="240" w:lineRule="auto"/>
              <w:rPr>
                <w:rFonts w:ascii="Times New Roman" w:hAnsi="Times New Roman" w:cs="Times New Roman"/>
                <w:i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1 756 034,00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руб. без учета НДС</w:t>
            </w:r>
            <w:r>
              <w:rPr>
                <w:rFonts w:ascii="Times New Roman" w:hAnsi="Times New Roman" w:cs="Times New Roman"/>
                <w:i/>
                <w:highlight w:val="white"/>
              </w:rPr>
            </w:r>
            <w:r>
              <w:rPr>
                <w:rFonts w:ascii="Times New Roman" w:hAnsi="Times New Roman" w:cs="Times New Roman"/>
                <w:i/>
                <w:highlight w:val="white"/>
              </w:rPr>
            </w:r>
          </w:p>
        </w:tc>
      </w:tr>
    </w:tbl>
    <w:p>
      <w:pPr>
        <w:rPr>
          <w:bCs w:val="0"/>
          <w:i w:val="0"/>
        </w:rPr>
      </w:pPr>
      <w:r>
        <w:rPr>
          <w:i w:val="0"/>
          <w:iCs w:val="0"/>
        </w:rPr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Базисно-индексный метод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Обоснование расчета НМЦ: прилагаемый  сводный сметный расчет (приложение №2 к Техническим требованиям)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character" w:styleId="852" w:customStyle="1">
    <w:name w:val="Основной текст (14)_"/>
    <w:basedOn w:val="681"/>
    <w:link w:val="853"/>
    <w:rPr>
      <w:rFonts w:ascii="Times New Roman" w:hAnsi="Times New Roman" w:eastAsia="Times New Roman" w:cs="Times New Roman"/>
      <w:shd w:val="clear" w:color="auto" w:fill="ffffff"/>
    </w:rPr>
  </w:style>
  <w:style w:type="paragraph" w:styleId="853" w:customStyle="1">
    <w:name w:val="Основной текст (14)"/>
    <w:basedOn w:val="671"/>
    <w:link w:val="852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54" w:customStyle="1">
    <w:name w:val="Подпись к таблице (2)_"/>
    <w:basedOn w:val="681"/>
    <w:link w:val="855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55" w:customStyle="1">
    <w:name w:val="Подпись к таблице (2)"/>
    <w:basedOn w:val="671"/>
    <w:link w:val="854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56">
    <w:name w:val="Table Grid"/>
    <w:basedOn w:val="68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Основной текст (2)_"/>
    <w:basedOn w:val="681"/>
    <w:link w:val="859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58" w:customStyle="1">
    <w:name w:val="Основной текст (2) + 11 pt"/>
    <w:basedOn w:val="857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59" w:customStyle="1">
    <w:name w:val="Основной текст (2)"/>
    <w:basedOn w:val="671"/>
    <w:link w:val="857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korneva_oa</cp:lastModifiedBy>
  <cp:revision>31</cp:revision>
  <dcterms:created xsi:type="dcterms:W3CDTF">2021-07-07T07:07:00Z</dcterms:created>
  <dcterms:modified xsi:type="dcterms:W3CDTF">2026-02-12T00:04:02Z</dcterms:modified>
</cp:coreProperties>
</file>